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38.png" ContentType="image/png"/>
  <Override PartName="/word/media/rId142.png" ContentType="image/png"/>
  <Override PartName="/word/media/rId134.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September</w:t>
      </w:r>
      <w:r>
        <w:t xml:space="preserve"> </w:t>
      </w:r>
      <w:r>
        <w:t xml:space="preserve">1,</w:t>
      </w:r>
      <w:r>
        <w:t xml:space="preserve"> </w:t>
      </w:r>
      <w:r>
        <w:t xml:space="preserve">2024</w:t>
      </w:r>
    </w:p>
    <w:p>
      <w:pPr>
        <w:pStyle w:val="AbstractTitle"/>
      </w:pPr>
      <w:r>
        <w:t xml:space="preserve">Abstract</w:t>
      </w:r>
    </w:p>
    <w:p>
      <w:pPr>
        <w:pStyle w:val="Abstract"/>
      </w:pPr>
      <w:r>
        <w:t xml:space="preserve">Where</w:t>
      </w:r>
      <w:r>
        <w:t xml:space="preserve"> </w:t>
      </w:r>
      <w:r>
        <w:t xml:space="preserve">do</w:t>
      </w:r>
      <w:r>
        <w:t xml:space="preserve"> </w:t>
      </w:r>
      <w:r>
        <w:t xml:space="preserve">queer</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implements</w:t>
      </w:r>
      <w:r>
        <w:t xml:space="preserve"> </w:t>
      </w:r>
      <w:r>
        <w:t xml:space="preserve">descriptive</w:t>
      </w:r>
      <w:r>
        <w:t xml:space="preserve"> </w:t>
      </w:r>
      <w:r>
        <w:t xml:space="preserve">analyses</w:t>
      </w:r>
      <w:r>
        <w:t xml:space="preserve"> </w:t>
      </w:r>
      <w:r>
        <w:t xml:space="preserve">and</w:t>
      </w:r>
      <w:r>
        <w:t xml:space="preserve"> </w:t>
      </w:r>
      <w:r>
        <w:t xml:space="preserve">quasi-Poisson</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sociodemographic</w:t>
      </w:r>
      <w:r>
        <w:t xml:space="preserve"> </w:t>
      </w:r>
      <w:r>
        <w:t xml:space="preserve">and</w:t>
      </w:r>
      <w:r>
        <w:t xml:space="preserve"> </w:t>
      </w:r>
      <w:r>
        <w:t xml:space="preserve">economic</w:t>
      </w:r>
      <w:r>
        <w:t xml:space="preserve"> </w:t>
      </w:r>
      <w:r>
        <w:t xml:space="preserve">factors.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These</w:t>
      </w:r>
      <w:r>
        <w:t xml:space="preserve"> </w:t>
      </w:r>
      <w:r>
        <w:t xml:space="preserve">settlement</w:t>
      </w:r>
      <w:r>
        <w:t xml:space="preserve"> </w:t>
      </w:r>
      <w:r>
        <w:t xml:space="preserve">patterns</w:t>
      </w:r>
      <w:r>
        <w:t xml:space="preserve"> </w:t>
      </w:r>
      <w:r>
        <w:t xml:space="preserve">generally</w:t>
      </w:r>
      <w:r>
        <w:t xml:space="preserve"> </w:t>
      </w:r>
      <w:r>
        <w:t xml:space="preserve">look</w:t>
      </w:r>
      <w:r>
        <w:t xml:space="preserve"> </w:t>
      </w:r>
      <w:r>
        <w:t xml:space="preserve">more</w:t>
      </w:r>
      <w:r>
        <w:t xml:space="preserve"> </w:t>
      </w:r>
      <w:r>
        <w:t xml:space="preserve">similar</w:t>
      </w:r>
      <w:r>
        <w:t xml:space="preserve"> </w:t>
      </w:r>
      <w:r>
        <w:t xml:space="preserve">to</w:t>
      </w:r>
      <w:r>
        <w:t xml:space="preserve"> </w:t>
      </w:r>
      <w:r>
        <w:t xml:space="preserve">fellow</w:t>
      </w:r>
      <w:r>
        <w:t xml:space="preserve"> </w:t>
      </w:r>
      <w:r>
        <w:t xml:space="preserve">U.S.-born</w:t>
      </w:r>
      <w:r>
        <w:t xml:space="preserve"> </w:t>
      </w:r>
      <w:r>
        <w:t xml:space="preserve">LGB</w:t>
      </w:r>
      <w:r>
        <w:t xml:space="preserve"> </w:t>
      </w:r>
      <w:r>
        <w:t xml:space="preserve">Americans:</w:t>
      </w:r>
      <w:r>
        <w:t xml:space="preserve"> </w:t>
      </w:r>
      <w:r>
        <w:t xml:space="preserve">locations</w:t>
      </w:r>
      <w:r>
        <w:t xml:space="preserve"> </w:t>
      </w:r>
      <w:r>
        <w:t xml:space="preserve">with</w:t>
      </w:r>
      <w:r>
        <w:t xml:space="preserve"> </w:t>
      </w:r>
      <w:r>
        <w:t xml:space="preserve">higher</w:t>
      </w:r>
      <w:r>
        <w:t xml:space="preserve"> </w:t>
      </w:r>
      <w:r>
        <w:t xml:space="preserve">concentrations</w:t>
      </w:r>
      <w:r>
        <w:t xml:space="preserve"> </w:t>
      </w:r>
      <w:r>
        <w:t xml:space="preserve">are</w:t>
      </w:r>
      <w:r>
        <w:t xml:space="preserve"> </w:t>
      </w:r>
      <w:r>
        <w:t xml:space="preserve">more</w:t>
      </w:r>
      <w:r>
        <w:t xml:space="preserve"> </w:t>
      </w:r>
      <w:r>
        <w:t xml:space="preserve">progressive,</w:t>
      </w:r>
      <w:r>
        <w:t xml:space="preserve"> </w:t>
      </w:r>
      <w:r>
        <w:t xml:space="preserve">have</w:t>
      </w:r>
      <w:r>
        <w:t xml:space="preserve"> </w:t>
      </w:r>
      <w:r>
        <w:t xml:space="preserve">more</w:t>
      </w:r>
      <w:r>
        <w:t xml:space="preserve"> </w:t>
      </w:r>
      <w:r>
        <w:t xml:space="preserve">robust</w:t>
      </w:r>
      <w:r>
        <w:t xml:space="preserve"> </w:t>
      </w:r>
      <w:r>
        <w:t xml:space="preserve">LGBTQ+</w:t>
      </w:r>
      <w:r>
        <w:t xml:space="preserve"> </w:t>
      </w:r>
      <w:r>
        <w:t xml:space="preserve">civic</w:t>
      </w:r>
      <w:r>
        <w:t xml:space="preserve"> </w:t>
      </w:r>
      <w:r>
        <w:t xml:space="preserve">life,</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Yet</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also</w:t>
      </w:r>
      <w:r>
        <w:t xml:space="preserve"> </w:t>
      </w:r>
      <w:r>
        <w:t xml:space="preserve">live</w:t>
      </w:r>
      <w:r>
        <w:t xml:space="preserve"> </w:t>
      </w:r>
      <w:r>
        <w:t xml:space="preserve">in</w:t>
      </w:r>
      <w:r>
        <w:t xml:space="preserve"> </w:t>
      </w:r>
      <w:r>
        <w:t xml:space="preserve">more</w:t>
      </w:r>
      <w:r>
        <w:t xml:space="preserve"> </w:t>
      </w:r>
      <w:r>
        <w:t xml:space="preserve">racially</w:t>
      </w:r>
      <w:r>
        <w:t xml:space="preserve"> </w:t>
      </w:r>
      <w:r>
        <w:t xml:space="preserve">and</w:t>
      </w:r>
      <w:r>
        <w:t xml:space="preserve"> </w:t>
      </w:r>
      <w:r>
        <w:t xml:space="preserve">ethnically</w:t>
      </w:r>
      <w:r>
        <w:t xml:space="preserve"> </w:t>
      </w:r>
      <w:r>
        <w:t xml:space="preserve">diverse</w:t>
      </w:r>
      <w:r>
        <w:t xml:space="preserve"> </w:t>
      </w:r>
      <w:r>
        <w:t xml:space="preserve">areas</w:t>
      </w:r>
      <w:r>
        <w:t xml:space="preserve"> </w:t>
      </w:r>
      <w:r>
        <w:t xml:space="preserve">compared</w:t>
      </w:r>
      <w:r>
        <w:t xml:space="preserve"> </w:t>
      </w:r>
      <w:r>
        <w:t xml:space="preserve">to</w:t>
      </w:r>
      <w:r>
        <w:t xml:space="preserve"> </w:t>
      </w:r>
      <w:r>
        <w:t xml:space="preserve">U.S.-born</w:t>
      </w:r>
      <w:r>
        <w:t xml:space="preserve"> </w:t>
      </w:r>
      <w:r>
        <w:t xml:space="preserve">Americans</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under</w:t>
      </w:r>
      <w:r>
        <w:t xml:space="preserve"> </w:t>
      </w:r>
      <w:r>
        <w:t xml:space="preserve">which</w:t>
      </w:r>
      <w:r>
        <w:t xml:space="preserve"> </w:t>
      </w:r>
      <w:r>
        <w:t xml:space="preserve">conditions</w:t>
      </w:r>
      <w:r>
        <w:t xml:space="preserve"> </w:t>
      </w:r>
      <w:r>
        <w:t xml:space="preserve">they</w:t>
      </w:r>
      <w:r>
        <w:t xml:space="preserve"> </w:t>
      </w:r>
      <w:r>
        <w:t xml:space="preserve">may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fellow</w:t>
      </w:r>
      <w:r>
        <w:t xml:space="preserve"> </w:t>
      </w:r>
      <w:r>
        <w:t xml:space="preserve">migrants,</w:t>
      </w:r>
      <w:r>
        <w:t xml:space="preserve"> </w:t>
      </w:r>
      <w:r>
        <w:t xml:space="preserve">their</w:t>
      </w:r>
      <w:r>
        <w:t xml:space="preserve"> </w:t>
      </w:r>
      <w:r>
        <w:t xml:space="preserve">fellow</w:t>
      </w:r>
      <w:r>
        <w:t xml:space="preserve"> </w:t>
      </w:r>
      <w:r>
        <w:t xml:space="preserve">sexual</w:t>
      </w:r>
      <w:r>
        <w:t xml:space="preserve"> </w:t>
      </w:r>
      <w:r>
        <w:t xml:space="preserve">minorities,</w:t>
      </w:r>
      <w:r>
        <w:t xml:space="preserve"> </w:t>
      </w:r>
      <w:r>
        <w:t xml:space="preserve">or</w:t>
      </w:r>
      <w:r>
        <w:t xml:space="preserve"> </w:t>
      </w:r>
      <w:r>
        <w:t xml:space="preserve">as</w:t>
      </w:r>
      <w:r>
        <w:t xml:space="preserve"> </w:t>
      </w:r>
      <w:r>
        <w:t xml:space="preserve">a</w:t>
      </w:r>
      <w:r>
        <w:t xml:space="preserve"> </w:t>
      </w:r>
      <w:r>
        <w:t xml:space="preserve">distinct</w:t>
      </w:r>
      <w:r>
        <w:t xml:space="preserve"> </w:t>
      </w:r>
      <w:r>
        <w:t xml:space="preserve">population</w:t>
      </w:r>
      <w:r>
        <w:t xml:space="preserve"> </w:t>
      </w:r>
      <w:r>
        <w:t xml:space="preserve">all</w:t>
      </w:r>
      <w:r>
        <w:t xml:space="preserve"> </w:t>
      </w:r>
      <w:r>
        <w:t xml:space="preserve">their</w:t>
      </w:r>
      <w:r>
        <w:t xml:space="preserve"> </w:t>
      </w:r>
      <w:r>
        <w:t xml:space="preserve">own.</w:t>
      </w:r>
    </w:p>
    <w:p>
      <w:pPr>
        <w:pStyle w:val="FirstParagraph"/>
      </w:pPr>
      <w:r>
        <w:rPr>
          <w:bCs/>
          <w:b/>
        </w:rPr>
        <w:t xml:space="preserve">To the participants of the Same-sex Marriage and Migration Workshop in Amsterdam:</w:t>
      </w:r>
      <w:r>
        <w:t xml:space="preserve"> </w:t>
      </w:r>
      <w:r>
        <w:rPr>
          <w:iCs/>
          <w:i/>
        </w:rPr>
        <w:t xml:space="preserve">Thank you for reading our paper! This is still a work in progress. We are looking especially to develop two areas. First, we have not fully fleshed out our theoretical framework, including incorporating a number of important works on LGB migration and settlement. Second, our analyses are still somewhat preliminary, and not all may be compelling. Any feedback on these areas – what is effective and what may not be interesting – or any other parts of the paper would be very much appreciated.</w:t>
      </w:r>
    </w:p>
    <w:bookmarkStart w:id="20" w:name="introduction"/>
    <w:p>
      <w:pPr>
        <w:pStyle w:val="Heading1"/>
      </w:pPr>
      <w:r>
        <w:t xml:space="preserve">Introduction</w:t>
      </w:r>
    </w:p>
    <w:p>
      <w:pPr>
        <w:pStyle w:val="FirstParagraph"/>
      </w:pPr>
      <w:r>
        <w:t xml:space="preserve">Changing policy landscapes around same-sex marriage are salient factors influencing migration and settlement decisions, including both asylees seeking refuge from repressive contexts</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r>
        <w:t xml:space="preserve">and also for elite queer migrants</w:t>
      </w:r>
      <w:r>
        <w:t xml:space="preserve"> </w:t>
      </w:r>
      <w:r>
        <w:t xml:space="preserve">(</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One notable policy change in this area came in 2013, when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and regression analyses to study how settlement patterns of immigrants in same-sex couples in the U.S. respond to local and national policy changes as well as other local factors. Results suggest that the distribution of immigrants in same-sex couples is expanding across the U.S. over time. These settlement patterns generally look more similar to fellow U.S.-born LGB Americans: locations with higher concentrations are more progressive, have more robust LGBTQ+ civic life, and have higher incomes. Yet one important contrast is that immigrants in same-sex couples also live in more racially and ethnically diverse areas compared to U.S.-born LGB Americans in same-sex couples. Our findings contribute to a fuller understanding of how this rapidly growing population and under which conditions they may behave more similarly to their fellow migrants, their fellow sexual minorities, or as a distinct population all their own.</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non-immigrant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_new">
        <w:r>
          <w:rPr>
            <w:rStyle w:val="Hyperlink"/>
          </w:rPr>
          <w:t xml:space="preserve">A. Spring and Ghaziani 2024</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U.S.-born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6_there">
        <w:r>
          <w:rPr>
            <w:rStyle w:val="Hyperlink"/>
          </w:rPr>
          <w:t xml:space="preserve">Ghaziani 2016</w:t>
        </w:r>
      </w:hyperlink>
      <w:r>
        <w:t xml:space="preserve">)</w:t>
      </w:r>
      <w:r>
        <w:t xml:space="preserve">. By extension, this urban-focused set of studies looks at transformations of gayborhoods and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one distinct characteristic is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These trends have invited additional research to understand the spread of same-sex couples into suburban and rural localities. For example, some find that same-sex couples leave urban centers due to rising housing values, patterns of poverty, and discriminatory lending practices encourage dispersion of the population</w:t>
      </w:r>
      <w:r>
        <w:t xml:space="preserve"> </w:t>
      </w:r>
      <w:r>
        <w:t xml:space="preserve">(</w:t>
      </w:r>
      <w:hyperlink w:anchor="ref-spring_2024_new">
        <w:r>
          <w:rPr>
            <w:rStyle w:val="Hyperlink"/>
          </w:rPr>
          <w:t xml:space="preserve">A. Spring and Ghaziani 2024</w:t>
        </w:r>
      </w:hyperlink>
      <w:r>
        <w:t xml:space="preserve">)</w:t>
      </w:r>
      <w:r>
        <w:t xml:space="preserve">. These trends also underscore the argument made by</w:t>
      </w:r>
      <w:r>
        <w:t xml:space="preserve"> </w:t>
      </w:r>
      <w:r>
        <w:t xml:space="preserve">Stone (</w:t>
      </w:r>
      <w:hyperlink w:anchor="ref-stone_2018_geography">
        <w:r>
          <w:rPr>
            <w:rStyle w:val="Hyperlink"/>
          </w:rPr>
          <w:t xml:space="preserve">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cities, the South, and rural locales. Indeed, same-sex couples’ increasing representation in red states and rural counties may underscore the increasing acceptance and social integration of these unions across the country</w:t>
      </w:r>
      <w:r>
        <w:t xml:space="preserve"> </w:t>
      </w:r>
      <w:r>
        <w:t xml:space="preserve">(</w:t>
      </w:r>
      <w:hyperlink w:anchor="ref-marino_2024_visualizing">
        <w:r>
          <w:rPr>
            <w:rStyle w:val="Hyperlink"/>
          </w:rPr>
          <w:t xml:space="preserve">Marino et al. 2024</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_visualizing">
        <w:r>
          <w:rPr>
            <w:rStyle w:val="Hyperlink"/>
          </w:rPr>
          <w:t xml:space="preserve">Marino et al. 2024</w:t>
        </w:r>
      </w:hyperlink>
      <w:r>
        <w:t xml:space="preserve">)</w:t>
      </w:r>
      <w:r>
        <w:t xml:space="preserve">. More research is needed, then, to understand patterns at lower levels of aggregation</w:t>
      </w:r>
      <w:r>
        <w:t xml:space="preserve"> </w:t>
      </w:r>
      <w:r>
        <w:t xml:space="preserve">(</w:t>
      </w:r>
      <w:hyperlink w:anchor="ref-spring_2024_new">
        <w:r>
          <w:rPr>
            <w:rStyle w:val="Hyperlink"/>
          </w:rPr>
          <w:t xml:space="preserve">A. Spring and Ghaziani 2024</w:t>
        </w:r>
      </w:hyperlink>
      <w:r>
        <w:t xml:space="preserve">)</w:t>
      </w:r>
      <w:r>
        <w:t xml:space="preserve">.</w:t>
      </w:r>
    </w:p>
    <w:p>
      <w:pPr>
        <w:pStyle w:val="BodyText"/>
      </w:pPr>
      <w:r>
        <w:t xml:space="preserve">Additionally, this research on same-sex couples typically assumes all respondents are U.S.-born Americans. Consequently, it is unknown whether the patterns exhibited here are in any way reflective of immigrants in similar unions.</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Because immigrants in same-sex couples tend to be of relatively more privileged socioeconomic status compared to immigrants in different-sex couples, it is possible these immigrants may settle in patterns more reflective of their non-immigrant LGB counterparts than their fellow immigrants. Considering that a key driver of the increase in immigrants in same-sex couples is through mixed-status marriages after DOMA</w:t>
      </w:r>
      <w:r>
        <w:t xml:space="preserve"> </w:t>
      </w:r>
      <w:r>
        <w:t xml:space="preserve">(</w:t>
      </w:r>
      <w:hyperlink w:anchor="ref-hoffmann_2024_policy">
        <w:r>
          <w:rPr>
            <w:rStyle w:val="Hyperlink"/>
          </w:rPr>
          <w:t xml:space="preserve">Hoffmann and Velasco 2024a</w:t>
        </w:r>
      </w:hyperlink>
      <w:r>
        <w:t xml:space="preserve">)</w:t>
      </w:r>
      <w:r>
        <w:t xml:space="preserve">, settlement patterns are likely more similar to U.S.-born LGB individuals than to the broader population of immigrants. On the other hand, LGB migrants may settle in patterns different from both straight migrants and U.S.-born LGB people.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Due to their greater personal privilege as well as this LGB-migrant-specific antagonism from larger society, LGB migrants may concentrate in their own unique enclaves.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193 million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who own their own home, whose income is under 100% or 200% of the poverty line, and who are unemployed. We also consider the mean PUMA-level values of personal income,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who identify as Hispanic. We also use a measure from the ACS of the density of the PUMA in persons per square mile.</w:t>
      </w:r>
    </w:p>
    <w:p>
      <w:pPr>
        <w:pStyle w:val="BodyText"/>
      </w:pPr>
      <w:r>
        <w:t xml:space="preserve">We also use social data from two other sources. First, to examine LGB policies at state of destination, we use original datasets. We predict that LGB migrants will prefer to live in states with more progressive LGB policy.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and 2022.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Due to data unavailability at the time of writing, we use 2021 data for 2022.</w:t>
      </w:r>
    </w:p>
    <w:p>
      <w:pPr>
        <w:pStyle w:val="BodyText"/>
      </w:pPr>
      <w:r>
        <w:t xml:space="preserve">Means for all of these PUMA-level variables by group are presented in Table</w:t>
      </w:r>
      <w:r>
        <w:t xml:space="preserve"> </w:t>
      </w:r>
      <w:r>
        <w:t xml:space="preserve">1</w:t>
      </w:r>
      <w:r>
        <w:t xml:space="preserve">.</w:t>
      </w:r>
    </w:p>
    <w:bookmarkEnd w:id="26"/>
    <w:bookmarkStart w:id="27" w:name="analytic-strategy"/>
    <w:p>
      <w:pPr>
        <w:pStyle w:val="Heading2"/>
      </w:pPr>
      <w:r>
        <w:t xml:space="preserve">Analytic Strategy</w:t>
      </w:r>
    </w:p>
    <w:p>
      <w:pPr>
        <w:pStyle w:val="FirstParagraph"/>
      </w:pPr>
      <w:r>
        <w:t xml:space="preserve">Our analyses proceed in three parts. First, we present descriptive statistics of ACS data. For these and for the reshaping described below, we apply survey weights from the ACS.</w:t>
      </w:r>
    </w:p>
    <w:p>
      <w:pPr>
        <w:pStyle w:val="BodyText"/>
      </w:pPr>
      <w:r>
        <w:t xml:space="preserve">For the second stage of the analysis, we use OLS models. One of our goals is to isolate the effect of country-of-origin LGB policy on the immigration of immigrants in same-sex couples. The ideal survey would follow potential immigrants over time and have information about sexual orientation, allowing us to estimate how choice of residence varies by sexual orientation. This ideal dataset does not exist, but we attempt to approximate it. First, to study how different LGB migrants are from straight ones, we reshape the data so that each observation is the percentage of individual cohabiting immigrants in same-sex couples in PUMA</w:t>
      </w:r>
      <w:r>
        <w:t xml:space="preserve"> </w:t>
      </w:r>
      <m:oMath>
        <m:r>
          <m:t>x</m:t>
        </m:r>
      </m:oMath>
      <w:r>
        <w:t xml:space="preserve"> </w:t>
      </w:r>
      <w:r>
        <w:t xml:space="preserve">in survey year</w:t>
      </w:r>
      <w:r>
        <w:t xml:space="preserve"> </w:t>
      </w:r>
      <m:oMath>
        <m:r>
          <m:t>y</m:t>
        </m:r>
      </m:oMath>
      <w:r>
        <w:t xml:space="preserve">, out of all cohabiting immigrants in that PUMA. We regress the resulting percentage on the set of variables discussed above, adding state and year fixed effects and clustering errors at the state and year levels. We then repeat this analysis, but with the aim of determining how different LGB migrants are from LGB non-migrants. We reshape the data so that each observation is the percentage of immigrants in same-sex couples</w:t>
      </w:r>
      <w:r>
        <w:t xml:space="preserve"> </w:t>
      </w:r>
      <w:r>
        <w:rPr>
          <w:iCs/>
          <w:i/>
        </w:rPr>
        <w:t xml:space="preserve">out of all same-sex couples</w:t>
      </w:r>
      <w:r>
        <w:t xml:space="preserve">, in PUMA</w:t>
      </w:r>
      <w:r>
        <w:t xml:space="preserve"> </w:t>
      </w:r>
      <m:oMath>
        <m:r>
          <m:t>x</m:t>
        </m:r>
      </m:oMath>
      <w:r>
        <w:t xml:space="preserve"> </w:t>
      </w:r>
      <w:r>
        <w:t xml:space="preserve">in survey year</w:t>
      </w:r>
      <w:r>
        <w:t xml:space="preserve"> </w:t>
      </w:r>
      <m:oMath>
        <m:r>
          <m:t>y</m:t>
        </m:r>
      </m:oMath>
      <w:r>
        <w:t xml:space="preserve">.</w:t>
      </w:r>
    </w:p>
    <w:p>
      <w:pPr>
        <w:pStyle w:val="BodyText"/>
      </w:pPr>
      <w:r>
        <w:t xml:space="preserve">The third set of results come from quasi-Poisson models. Regressing yearly counts within PUMAs on the full set of geographic variables discussed above, we estimate separate models for our three groups – immigrants in same-sex couples, immigrants in different-sex couples, and non-immigrants in same-sex couples. We compare the significance of coefficients across models using Z-tests.</w:t>
      </w:r>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(out of all coupled immigrants) if fewer people own their own home, the average age is higher, the percentage of immigrants is lower, more people are above the poverty line, homes are worth somewhat less, the number of LGBT nonprofits is higher, and the number of immigrant nonprofits is lower. In addition, although the coefficient is not significant in Model 3, the state LGB policy score has a positive effect in Models 1 and 2. States with more progressive LGB policies have greater proportions of immigrants in same-sex couples, but the lack of significance in models with fixed effects implies that variation is mostly between-state and between-year.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Compared to LGB individuals more broadly, LGB immigrants tend to live in areas with more Black and Hispanic people, lower income, more people who own their own home, higher percentages of immigrants, higher home prices greater density, and with fewer immigrant nonprofits.</w:t>
      </w:r>
    </w:p>
    <w:p>
      <w:pPr>
        <w:pStyle w:val="BodyText"/>
      </w:pPr>
      <w:r>
        <w:t xml:space="preserve">Lastly, Table</w:t>
      </w:r>
      <w:r>
        <w:t xml:space="preserve"> </w:t>
      </w:r>
      <w:r>
        <w:t xml:space="preserve">4</w:t>
      </w:r>
      <w:r>
        <w:t xml:space="preserve"> </w:t>
      </w:r>
      <w:r>
        <w:t xml:space="preserve">presents coefficients from our quasi-Poisson models separately predicting counts of immigrants in different-sex couples, immigrants in same-sex couples, and non-immigrants in same-sex couples. The symbols between columns represents Z-tests, where the difference in coefficients for the same variable are evaluated for statistical significance. While descriptive results suggested that immigrants in same-sex couples are more similar to immigrants in different-sex couples than to non-immigrants in same-sex couples, the results here differ somewhat. More coefficients are significantly different from immigrants in different-sex couples (percentage Hispanic, percentage who own their own home, mean age, percentage immigrant, mean value of home, state LGB policy score, number of LGB nonprofits, and number of immigrant nonprofits) than from non-immigrants in same-sex couples (percentage black, percentage Hispanic, and percentage immigrant). Notably, compared to straight migrants, LGB migrants are more likely to live in LGB-friendly states and near LGBT nonprofits, and they are less likely to live near immigrant nonprofits.</w:t>
      </w:r>
    </w:p>
    <w:bookmarkEnd w:id="30"/>
    <w:bookmarkEnd w:id="31"/>
    <w:bookmarkStart w:id="32" w:name="discussion-and-conclusion"/>
    <w:p>
      <w:pPr>
        <w:pStyle w:val="Heading1"/>
      </w:pPr>
      <w:r>
        <w:t xml:space="preserve">Discussion and Conclusion</w:t>
      </w:r>
    </w:p>
    <w:p>
      <w:pPr>
        <w:pStyle w:val="FirstParagraph"/>
      </w:pPr>
      <w:r>
        <w:t xml:space="preserve">In 2013, the U.S. Supreme Court overturned the Defense of Marriage Act and required the U.S. government to begin recognizing marriages between same-sex spouses. Once immigrants in same-sex couples had access to spousal and finané(e)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is it, then, that these immigrants settle in the United States over time?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2022. This trend underscores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county-level and metropolitan-level distributions in same-sex couples overall.</w:t>
      </w:r>
    </w:p>
    <w:p>
      <w:pPr>
        <w:pStyle w:val="BodyText"/>
      </w:pPr>
      <w:r>
        <w:t xml:space="preserve">Second, when descriptively comparing the types of areas immigrants in same-sex couples live compared to immigrants in different-sex couples and U.S.-born individuals in same-sex couples, we find immigrants are typically closer to trends matching their fellow immigrants. A notable exception is that immigrants in same-sex couples live in areas with greater concentration of those with Bachelor’s degrees, more LGBTQ+ nonprofits, more density, and have higher average incomes. In other words, these descriptive trends show this population to have a disproportionate draw to areas that may be more characteristic of gayborhoods</w:t>
      </w:r>
      <w:r>
        <w:t xml:space="preserve"> </w:t>
      </w:r>
      <w:r>
        <w:t xml:space="preserve">(</w:t>
      </w:r>
      <w:hyperlink w:anchor="ref-ghaziani_2016_there">
        <w:r>
          <w:rPr>
            <w:rStyle w:val="Hyperlink"/>
          </w:rPr>
          <w:t xml:space="preserve">Ghaziani 2016</w:t>
        </w:r>
      </w:hyperlink>
      <w:r>
        <w:t xml:space="preserve">)</w:t>
      </w:r>
      <w:r>
        <w:t xml:space="preserve">. Yet, our OLS and quasi-Poisson models show that when compared to U.S.-born Americans in same-sex couples, their immigrant counterparts live in areas that are more Hispanic, Black, have more immigrants, and in states with even more progressive LGBTQ+ policies.</w:t>
      </w:r>
    </w:p>
    <w:p>
      <w:pPr>
        <w:pStyle w:val="BodyText"/>
      </w:pPr>
      <w:r>
        <w:t xml:space="preserve">Third, rather than being more akin to one adjacent population or the other, it appears that immigrants in same-sex couples operate on their own distinct settlement patterns. These immigrants live in more diverse, cosmopolitan, and LGBTQ+ supportive locations in the United States, unlike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As found by</w:t>
      </w:r>
      <w:r>
        <w:t xml:space="preserve"> </w:t>
      </w:r>
      <w:r>
        <w:t xml:space="preserve">Hoffmann and Velasco (</w:t>
      </w:r>
      <w:hyperlink w:anchor="ref-hoffmann_2023_sexuality">
        <w:r>
          <w:rPr>
            <w:rStyle w:val="Hyperlink"/>
          </w:rPr>
          <w:t xml:space="preserve">2023</w:t>
        </w:r>
      </w:hyperlink>
      <w:r>
        <w:t xml:space="preserve">)</w:t>
      </w:r>
      <w:r>
        <w:t xml:space="preserve">, this may because, as a population, immigrants in same-sex couples are some of the move privileged among immigrants – typically having higher incomes, occupational prestige, and educational attainment. Consequently,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 migrants in couples who live together, excluding single or non-cohabiting LGB migrants.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 migrants in these areas. In-depth qualitative work is necessary to understand how LGB migrants consider various aspects of place and space in deciding where to settle.</w:t>
      </w:r>
    </w:p>
    <w:p>
      <w:r>
        <w:br w:type="page"/>
      </w:r>
    </w:p>
    <w:bookmarkEnd w:id="32"/>
    <w:bookmarkStart w:id="128" w:name="references"/>
    <w:p>
      <w:pPr>
        <w:pStyle w:val="Heading1"/>
      </w:pPr>
      <w:r>
        <w:t xml:space="preserve">References</w:t>
      </w:r>
    </w:p>
    <w:bookmarkStart w:id="127"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9"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8">
        <w:r>
          <w:rPr>
            <w:rStyle w:val="Hyperlink"/>
          </w:rPr>
          <w:t xml:space="preserve">https://doi.org/10.1007/s11113-023-09842-7</w:t>
        </w:r>
      </w:hyperlink>
      <w:r>
        <w:t xml:space="preserve">.</w:t>
      </w:r>
    </w:p>
    <w:bookmarkEnd w:id="39"/>
    <w:bookmarkStart w:id="41"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0">
        <w:r>
          <w:rPr>
            <w:rStyle w:val="Hyperlink"/>
          </w:rPr>
          <w:t xml:space="preserve">https://doi.org/10.1006/juec.2001.2237</w:t>
        </w:r>
      </w:hyperlink>
      <w:r>
        <w:t xml:space="preserve">.</w:t>
      </w:r>
    </w:p>
    <w:bookmarkEnd w:id="41"/>
    <w:bookmarkStart w:id="42"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2"/>
    <w:bookmarkStart w:id="43"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43"/>
    <w:bookmarkStart w:id="45"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44">
        <w:r>
          <w:rPr>
            <w:rStyle w:val="Hyperlink"/>
          </w:rPr>
          <w:t xml:space="preserve">https://doi.org/10.1080/1387698042000273479</w:t>
        </w:r>
      </w:hyperlink>
      <w:r>
        <w:t xml:space="preserve">.</w:t>
      </w:r>
    </w:p>
    <w:bookmarkEnd w:id="45"/>
    <w:bookmarkStart w:id="47"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46">
        <w:r>
          <w:rPr>
            <w:rStyle w:val="Hyperlink"/>
          </w:rPr>
          <w:t xml:space="preserve">https://doi.org/10.1177/00380385211073237</w:t>
        </w:r>
      </w:hyperlink>
      <w:r>
        <w:t xml:space="preserve">.</w:t>
      </w:r>
    </w:p>
    <w:bookmarkEnd w:id="47"/>
    <w:bookmarkStart w:id="4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8">
        <w:r>
          <w:rPr>
            <w:rStyle w:val="Hyperlink"/>
          </w:rPr>
          <w:t xml:space="preserve">https://doi.org/10.1111/kykl.12206</w:t>
        </w:r>
      </w:hyperlink>
      <w:r>
        <w:t xml:space="preserve">.</w:t>
      </w:r>
    </w:p>
    <w:bookmarkEnd w:id="49"/>
    <w:bookmarkStart w:id="51"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50">
        <w:r>
          <w:rPr>
            <w:rStyle w:val="Hyperlink"/>
          </w:rPr>
          <w:t xml:space="preserve">https://doi.org/10.1016/j.geoforum.2015.11.007</w:t>
        </w:r>
      </w:hyperlink>
      <w:r>
        <w:t xml:space="preserve">.</w:t>
      </w:r>
    </w:p>
    <w:bookmarkEnd w:id="51"/>
    <w:bookmarkStart w:id="53"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52">
        <w:r>
          <w:rPr>
            <w:rStyle w:val="Hyperlink"/>
          </w:rPr>
          <w:t xml:space="preserve">https://doi.org/10.1177/0011392119850231</w:t>
        </w:r>
      </w:hyperlink>
      <w:r>
        <w:t xml:space="preserve">.</w:t>
      </w:r>
    </w:p>
    <w:bookmarkEnd w:id="53"/>
    <w:bookmarkStart w:id="55"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54">
        <w:r>
          <w:rPr>
            <w:rStyle w:val="Hyperlink"/>
          </w:rPr>
          <w:t xml:space="preserve">https://doi.org/10.1177/0002716219857667</w:t>
        </w:r>
      </w:hyperlink>
      <w:r>
        <w:t xml:space="preserve">.</w:t>
      </w:r>
    </w:p>
    <w:bookmarkEnd w:id="55"/>
    <w:bookmarkStart w:id="57"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56">
        <w:r>
          <w:rPr>
            <w:rStyle w:val="Hyperlink"/>
          </w:rPr>
          <w:t xml:space="preserve">https://www.jstor.org/stable/42864364</w:t>
        </w:r>
      </w:hyperlink>
      <w:r>
        <w:t xml:space="preserve">.</w:t>
      </w:r>
    </w:p>
    <w:bookmarkEnd w:id="57"/>
    <w:bookmarkStart w:id="58"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58"/>
    <w:bookmarkStart w:id="60"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59">
        <w:r>
          <w:rPr>
            <w:rStyle w:val="Hyperlink"/>
          </w:rPr>
          <w:t xml:space="preserve">https://doi.org/10.1146/annurev-soc-090320-100926</w:t>
        </w:r>
      </w:hyperlink>
      <w:r>
        <w:t xml:space="preserve">.</w:t>
      </w:r>
    </w:p>
    <w:bookmarkEnd w:id="60"/>
    <w:bookmarkStart w:id="62"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61">
        <w:r>
          <w:rPr>
            <w:rStyle w:val="Hyperlink"/>
          </w:rPr>
          <w:t xml:space="preserve">https://doi.org/10.1111/1540-6040.00034</w:t>
        </w:r>
      </w:hyperlink>
      <w:r>
        <w:t xml:space="preserve">.</w:t>
      </w:r>
    </w:p>
    <w:bookmarkEnd w:id="62"/>
    <w:bookmarkStart w:id="63"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3"/>
    <w:bookmarkStart w:id="64"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64"/>
    <w:bookmarkStart w:id="66"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65">
        <w:r>
          <w:rPr>
            <w:rStyle w:val="Hyperlink"/>
          </w:rPr>
          <w:t xml:space="preserve">https://doi.org/10.1515/9781400850174</w:t>
        </w:r>
      </w:hyperlink>
      <w:r>
        <w:t xml:space="preserve">.</w:t>
      </w:r>
    </w:p>
    <w:bookmarkEnd w:id="66"/>
    <w:bookmarkStart w:id="67"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7"/>
    <w:bookmarkStart w:id="68"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68"/>
    <w:bookmarkStart w:id="7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69">
        <w:r>
          <w:rPr>
            <w:rStyle w:val="Hyperlink"/>
          </w:rPr>
          <w:t xml:space="preserve">https://doi.org/10.1080/14649360902853262</w:t>
        </w:r>
      </w:hyperlink>
      <w:r>
        <w:t xml:space="preserve">.</w:t>
      </w:r>
    </w:p>
    <w:bookmarkEnd w:id="70"/>
    <w:bookmarkStart w:id="72"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71">
        <w:r>
          <w:rPr>
            <w:rStyle w:val="Hyperlink"/>
          </w:rPr>
          <w:t xml:space="preserve">https://doi.org/10.1007/s13524-012-0177-x</w:t>
        </w:r>
      </w:hyperlink>
      <w:r>
        <w:t xml:space="preserve">.</w:t>
      </w:r>
    </w:p>
    <w:bookmarkEnd w:id="72"/>
    <w:bookmarkStart w:id="74"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73">
        <w:r>
          <w:rPr>
            <w:rStyle w:val="Hyperlink"/>
          </w:rPr>
          <w:t xml:space="preserve">https://doi.org/10.7551/mitpress/3303.001.0001</w:t>
        </w:r>
      </w:hyperlink>
      <w:r>
        <w:t xml:space="preserve">.</w:t>
      </w:r>
    </w:p>
    <w:bookmarkEnd w:id="74"/>
    <w:bookmarkStart w:id="76"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75">
        <w:r>
          <w:rPr>
            <w:rStyle w:val="Hyperlink"/>
          </w:rPr>
          <w:t xml:space="preserve">https://www.jstor.org/stable/271107</w:t>
        </w:r>
      </w:hyperlink>
      <w:r>
        <w:t xml:space="preserve">.</w:t>
      </w:r>
    </w:p>
    <w:bookmarkEnd w:id="76"/>
    <w:bookmarkStart w:id="78"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77">
        <w:r>
          <w:rPr>
            <w:rStyle w:val="Hyperlink"/>
          </w:rPr>
          <w:t xml:space="preserve">https://doi.org/10.1111/j.1540-6040.2010.01353.x</w:t>
        </w:r>
      </w:hyperlink>
      <w:r>
        <w:t xml:space="preserve">.</w:t>
      </w:r>
    </w:p>
    <w:bookmarkEnd w:id="78"/>
    <w:bookmarkStart w:id="79"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79"/>
    <w:bookmarkStart w:id="81"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80">
        <w:r>
          <w:rPr>
            <w:rStyle w:val="Hyperlink"/>
          </w:rPr>
          <w:t xml:space="preserve">https://doi.org/10.1177/01979183231187623</w:t>
        </w:r>
      </w:hyperlink>
      <w:r>
        <w:t xml:space="preserve">.</w:t>
      </w:r>
    </w:p>
    <w:bookmarkEnd w:id="81"/>
    <w:bookmarkStart w:id="83"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82">
        <w:r>
          <w:rPr>
            <w:rStyle w:val="Hyperlink"/>
          </w:rPr>
          <w:t xml:space="preserve">https://doi.org/10.1093/sf/soad108</w:t>
        </w:r>
      </w:hyperlink>
      <w:r>
        <w:t xml:space="preserve">.</w:t>
      </w:r>
    </w:p>
    <w:bookmarkEnd w:id="83"/>
    <w:bookmarkStart w:id="85"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84">
        <w:r>
          <w:rPr>
            <w:rStyle w:val="Hyperlink"/>
          </w:rPr>
          <w:t xml:space="preserve">https://doi.org/10.31235/osf.io/yb6ua</w:t>
        </w:r>
      </w:hyperlink>
      <w:r>
        <w:t xml:space="preserve">.</w:t>
      </w:r>
    </w:p>
    <w:bookmarkEnd w:id="85"/>
    <w:bookmarkStart w:id="87"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86">
        <w:r>
          <w:rPr>
            <w:rStyle w:val="Hyperlink"/>
          </w:rPr>
          <w:t xml:space="preserve">https://doi.org/10.1353/dem.2008.0009</w:t>
        </w:r>
      </w:hyperlink>
      <w:r>
        <w:t xml:space="preserve">.</w:t>
      </w:r>
    </w:p>
    <w:bookmarkEnd w:id="87"/>
    <w:bookmarkStart w:id="89"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88">
        <w:r>
          <w:rPr>
            <w:rStyle w:val="Hyperlink"/>
          </w:rPr>
          <w:t xml:space="preserve">https://doi.org/10.1371/journal.pone.0198751</w:t>
        </w:r>
      </w:hyperlink>
      <w:r>
        <w:t xml:space="preserve">.</w:t>
      </w:r>
    </w:p>
    <w:bookmarkEnd w:id="89"/>
    <w:bookmarkStart w:id="91"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90">
        <w:r>
          <w:rPr>
            <w:rStyle w:val="Hyperlink"/>
          </w:rPr>
          <w:t xml:space="preserve">https://doi.org/10.1080/17450100903195318</w:t>
        </w:r>
      </w:hyperlink>
      <w:r>
        <w:t xml:space="preserve">.</w:t>
      </w:r>
    </w:p>
    <w:bookmarkEnd w:id="91"/>
    <w:bookmarkStart w:id="93"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92">
        <w:r>
          <w:rPr>
            <w:rStyle w:val="Hyperlink"/>
          </w:rPr>
          <w:t xml:space="preserve">https://doi.org/10.1007/s00148-021-00842-5</w:t>
        </w:r>
      </w:hyperlink>
      <w:r>
        <w:t xml:space="preserve">.</w:t>
      </w:r>
    </w:p>
    <w:bookmarkEnd w:id="93"/>
    <w:bookmarkStart w:id="95"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94">
        <w:r>
          <w:rPr>
            <w:rStyle w:val="Hyperlink"/>
          </w:rPr>
          <w:t xml:space="preserve">https://doi.org/10.1177/23780231231222772</w:t>
        </w:r>
      </w:hyperlink>
      <w:r>
        <w:t xml:space="preserve">.</w:t>
      </w:r>
    </w:p>
    <w:bookmarkEnd w:id="95"/>
    <w:bookmarkStart w:id="97"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96">
        <w:r>
          <w:rPr>
            <w:rStyle w:val="Hyperlink"/>
          </w:rPr>
          <w:t xml:space="preserve">https://doi.org/10.1007/s12122-020-09305-4</w:t>
        </w:r>
      </w:hyperlink>
      <w:r>
        <w:t xml:space="preserve">.</w:t>
      </w:r>
    </w:p>
    <w:bookmarkEnd w:id="97"/>
    <w:bookmarkStart w:id="98"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98"/>
    <w:bookmarkStart w:id="99"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99"/>
    <w:bookmarkStart w:id="100"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00"/>
    <w:bookmarkStart w:id="102"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01">
        <w:r>
          <w:rPr>
            <w:rStyle w:val="Hyperlink"/>
          </w:rPr>
          <w:t xml:space="preserve">https://doi.org/10.1111/j.1944-8287.1999.tb00079.x</w:t>
        </w:r>
      </w:hyperlink>
      <w:r>
        <w:t xml:space="preserve">.</w:t>
      </w:r>
    </w:p>
    <w:bookmarkEnd w:id="102"/>
    <w:bookmarkStart w:id="103"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03"/>
    <w:bookmarkStart w:id="104"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04"/>
    <w:bookmarkStart w:id="105"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05"/>
    <w:bookmarkStart w:id="107"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06">
        <w:r>
          <w:rPr>
            <w:rStyle w:val="Hyperlink"/>
          </w:rPr>
          <w:t xml:space="preserve">https://doi.org/10.1353/dem.2005.0025</w:t>
        </w:r>
      </w:hyperlink>
      <w:r>
        <w:t xml:space="preserve">.</w:t>
      </w:r>
    </w:p>
    <w:bookmarkEnd w:id="107"/>
    <w:bookmarkStart w:id="109"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08">
        <w:r>
          <w:rPr>
            <w:rStyle w:val="Hyperlink"/>
          </w:rPr>
          <w:t xml:space="preserve">https://doi.org/10.1007/s11113-013-9280-y</w:t>
        </w:r>
      </w:hyperlink>
      <w:r>
        <w:t xml:space="preserve">.</w:t>
      </w:r>
    </w:p>
    <w:bookmarkEnd w:id="109"/>
    <w:bookmarkStart w:id="111"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10">
        <w:r>
          <w:rPr>
            <w:rStyle w:val="Hyperlink"/>
          </w:rPr>
          <w:t xml:space="preserve">https://doi.org/10.1215/00703370-11482174</w:t>
        </w:r>
      </w:hyperlink>
      <w:r>
        <w:t xml:space="preserve">.</w:t>
      </w:r>
    </w:p>
    <w:bookmarkEnd w:id="111"/>
    <w:bookmarkStart w:id="113"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12">
        <w:r>
          <w:rPr>
            <w:rStyle w:val="Hyperlink"/>
          </w:rPr>
          <w:t xml:space="preserve">https://doi.org/10.1111/soc4.12638</w:t>
        </w:r>
      </w:hyperlink>
      <w:r>
        <w:t xml:space="preserve">.</w:t>
      </w:r>
    </w:p>
    <w:bookmarkEnd w:id="113"/>
    <w:bookmarkStart w:id="114"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14"/>
    <w:bookmarkStart w:id="11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15"/>
    <w:bookmarkStart w:id="11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16"/>
    <w:bookmarkStart w:id="11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17">
        <w:r>
          <w:rPr>
            <w:rStyle w:val="Hyperlink"/>
          </w:rPr>
          <w:t xml:space="preserve">https://doi.org/10.1086/718279</w:t>
        </w:r>
      </w:hyperlink>
      <w:r>
        <w:t xml:space="preserve">.</w:t>
      </w:r>
    </w:p>
    <w:bookmarkEnd w:id="118"/>
    <w:bookmarkStart w:id="12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19">
        <w:r>
          <w:rPr>
            <w:rStyle w:val="Hyperlink"/>
          </w:rPr>
          <w:t xml:space="preserve">https://doi.org/10.1111/lasr.12239</w:t>
        </w:r>
      </w:hyperlink>
      <w:r>
        <w:t xml:space="preserve">.</w:t>
      </w:r>
    </w:p>
    <w:bookmarkEnd w:id="120"/>
    <w:bookmarkStart w:id="122"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21">
        <w:r>
          <w:rPr>
            <w:rStyle w:val="Hyperlink"/>
          </w:rPr>
          <w:t xml:space="preserve">https://doi.org/10.31235/osf.io/6wx2h</w:t>
        </w:r>
      </w:hyperlink>
      <w:r>
        <w:t xml:space="preserve">.</w:t>
      </w:r>
    </w:p>
    <w:bookmarkEnd w:id="122"/>
    <w:bookmarkStart w:id="124"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23">
        <w:r>
          <w:rPr>
            <w:rStyle w:val="Hyperlink"/>
          </w:rPr>
          <w:t xml:space="preserve">https://doi.org/10.3386/w19626</w:t>
        </w:r>
      </w:hyperlink>
      <w:r>
        <w:t xml:space="preserve">.</w:t>
      </w:r>
    </w:p>
    <w:bookmarkEnd w:id="124"/>
    <w:bookmarkStart w:id="125"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25"/>
    <w:bookmarkStart w:id="126"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26"/>
    <w:bookmarkEnd w:id="127"/>
    <w:p>
      <w:r>
        <w:br w:type="page"/>
      </w:r>
    </w:p>
    <w:bookmarkEnd w:id="128"/>
    <w:bookmarkStart w:id="133" w:name="tables"/>
    <w:p>
      <w:pPr>
        <w:pStyle w:val="Heading1"/>
      </w:pPr>
      <w:r>
        <w:t xml:space="preserve">Tables</w:t>
      </w:r>
    </w:p>
    <w:p>
      <w:pPr>
        <w:pStyle w:val="TableCaption"/>
      </w:pPr>
      <w:bookmarkStart w:id="129" w:name="tab:desc"/>
      <w:bookmarkEnd w:id="129"/>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n_weighted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130" w:name="tab:prop-regression"/>
      <w:bookmarkEnd w:id="130"/>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1.104 **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r>
      <w:tr>
        <w:trPr>
          <w:trHeight w:val="360" w:hRule="auto"/>
        </w:trPr>
        body37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131" w:name="tab:gay-prop-regression"/>
      <w:bookmarkEnd w:id="131"/>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-0.095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-0.101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(0.029)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-5.589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-5.374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(2.410)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0.623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(0.247)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0.159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-1.016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(3.825)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-0.338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-0.266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p>
      <w:pPr>
        <w:pStyle w:val="TableCaption"/>
      </w:pPr>
      <w:bookmarkStart w:id="132" w:name="tab:poisson-regression-separate"/>
      <w:bookmarkEnd w:id="132"/>
      <w:r>
        <w:t xml:space="preserve">Table 4:</w:t>
      </w:r>
      <w:r>
        <w:t xml:space="preserve"> </w:t>
      </w:r>
      <w:r>
        <w:t xml:space="preserve">Quasi-poisson models by PUMA, regressed on PUMA-level factors, separately by group. Symbols between columns represent significance level for a Z-test of the difference in coefficient bewteen the two adject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-0.093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0.120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(0.236)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0.055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nobs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r>
      <w:tr>
        <w:trPr>
          <w:trHeight w:val="360" w:hRule="auto"/>
        </w:trPr>
        body37
        <w:tc>
          <w:tcPr>
            <w:gridSpan w:val="6"/>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bookmarkEnd w:id="133"/>
    <w:bookmarkStart w:id="146"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35" name="Picture"/>
            <a:graphic>
              <a:graphicData uri="http://schemas.openxmlformats.org/drawingml/2006/picture">
                <pic:pic>
                  <pic:nvPicPr>
                    <pic:cNvPr descr="ssimm_geo_files/figure-docx/state-map-1.png" id="136" name="Picture"/>
                    <pic:cNvPicPr>
                      <a:picLocks noChangeArrowheads="1" noChangeAspect="1"/>
                    </pic:cNvPicPr>
                  </pic:nvPicPr>
                  <pic:blipFill>
                    <a:blip r:embed="rId13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37" w:name="fig:state-map"/>
      <w:bookmarkEnd w:id="137"/>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139" name="Picture"/>
            <a:graphic>
              <a:graphicData uri="http://schemas.openxmlformats.org/drawingml/2006/picture">
                <pic:pic>
                  <pic:nvPicPr>
                    <pic:cNvPr descr="ssimm_geo_files/figure-docx/desc-time-1-1.png" id="140" name="Picture"/>
                    <pic:cNvPicPr>
                      <a:picLocks noChangeArrowheads="1" noChangeAspect="1"/>
                    </pic:cNvPicPr>
                  </pic:nvPicPr>
                  <pic:blipFill>
                    <a:blip r:embed="rId138"/>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41" w:name="fig:desc-time-1"/>
      <w:bookmarkEnd w:id="141"/>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143" name="Picture"/>
            <a:graphic>
              <a:graphicData uri="http://schemas.openxmlformats.org/drawingml/2006/picture">
                <pic:pic>
                  <pic:nvPicPr>
                    <pic:cNvPr descr="ssimm_geo_files/figure-docx/desc-time-2-1.png" id="144" name="Picture"/>
                    <pic:cNvPicPr>
                      <a:picLocks noChangeArrowheads="1" noChangeAspect="1"/>
                    </pic:cNvPicPr>
                  </pic:nvPicPr>
                  <pic:blipFill>
                    <a:blip r:embed="rId142"/>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45" w:name="fig:desc-time-2"/>
      <w:bookmarkEnd w:id="145"/>
      <w:r>
        <w:t xml:space="preserve">Figure 3: Geographic characteristics (means) over time for immigrants in different- and same-sex couples, based on American Community Survey data for 2008-2022</w:t>
      </w:r>
    </w:p>
    <w:bookmarkEnd w:id="146"/>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34" Target="media/rId134.png" /><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92" Target="https://doi.org/10.1007/s00148-021-00842-5" TargetMode="External" /><Relationship Type="http://schemas.openxmlformats.org/officeDocument/2006/relationships/hyperlink" Id="rId108"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96" Target="https://doi.org/10.1007/s12122-020-09305-4" TargetMode="External" /><Relationship Type="http://schemas.openxmlformats.org/officeDocument/2006/relationships/hyperlink" Id="rId71" Target="https://doi.org/10.1007/s13524-012-0177-x" TargetMode="External" /><Relationship Type="http://schemas.openxmlformats.org/officeDocument/2006/relationships/hyperlink" Id="rId50" Target="https://doi.org/10.1016/j.geoforum.2015.11.007" TargetMode="External" /><Relationship Type="http://schemas.openxmlformats.org/officeDocument/2006/relationships/hyperlink" Id="rId44" Target="https://doi.org/10.1080/1387698042000273479" TargetMode="External" /><Relationship Type="http://schemas.openxmlformats.org/officeDocument/2006/relationships/hyperlink" Id="rId69" Target="https://doi.org/10.1080/14649360902853262" TargetMode="External" /><Relationship Type="http://schemas.openxmlformats.org/officeDocument/2006/relationships/hyperlink" Id="rId90" Target="https://doi.org/10.1080/17450100903195318" TargetMode="External" /><Relationship Type="http://schemas.openxmlformats.org/officeDocument/2006/relationships/hyperlink" Id="rId117" Target="https://doi.org/10.1086/718279" TargetMode="External" /><Relationship Type="http://schemas.openxmlformats.org/officeDocument/2006/relationships/hyperlink" Id="rId82" Target="https://doi.org/10.1093/sf/soad108" TargetMode="External" /><Relationship Type="http://schemas.openxmlformats.org/officeDocument/2006/relationships/hyperlink" Id="rId61" Target="https://doi.org/10.1111/1540-6040.00034" TargetMode="External" /><Relationship Type="http://schemas.openxmlformats.org/officeDocument/2006/relationships/hyperlink" Id="rId77" Target="https://doi.org/10.1111/j.1540-6040.2010.01353.x" TargetMode="External" /><Relationship Type="http://schemas.openxmlformats.org/officeDocument/2006/relationships/hyperlink" Id="rId101" Target="https://doi.org/10.1111/j.1944-8287.1999.tb00079.x" TargetMode="External" /><Relationship Type="http://schemas.openxmlformats.org/officeDocument/2006/relationships/hyperlink" Id="rId48" Target="https://doi.org/10.1111/kykl.12206" TargetMode="External" /><Relationship Type="http://schemas.openxmlformats.org/officeDocument/2006/relationships/hyperlink" Id="rId119" Target="https://doi.org/10.1111/lasr.12239" TargetMode="External" /><Relationship Type="http://schemas.openxmlformats.org/officeDocument/2006/relationships/hyperlink" Id="rId112" Target="https://doi.org/10.1111/soc4.12638" TargetMode="External" /><Relationship Type="http://schemas.openxmlformats.org/officeDocument/2006/relationships/hyperlink" Id="rId59" Target="https://doi.org/10.1146/annurev-soc-090320-100926" TargetMode="External" /><Relationship Type="http://schemas.openxmlformats.org/officeDocument/2006/relationships/hyperlink" Id="rId54" Target="https://doi.org/10.1177/0002716219857667" TargetMode="External" /><Relationship Type="http://schemas.openxmlformats.org/officeDocument/2006/relationships/hyperlink" Id="rId52" Target="https://doi.org/10.1177/0011392119850231" TargetMode="External" /><Relationship Type="http://schemas.openxmlformats.org/officeDocument/2006/relationships/hyperlink" Id="rId46" Target="https://doi.org/10.1177/00380385211073237" TargetMode="External" /><Relationship Type="http://schemas.openxmlformats.org/officeDocument/2006/relationships/hyperlink" Id="rId80" Target="https://doi.org/10.1177/01979183231187623" TargetMode="External" /><Relationship Type="http://schemas.openxmlformats.org/officeDocument/2006/relationships/hyperlink" Id="rId94" Target="https://doi.org/10.1177/23780231231222772" TargetMode="External" /><Relationship Type="http://schemas.openxmlformats.org/officeDocument/2006/relationships/hyperlink" Id="rId110" Target="https://doi.org/10.1215/00703370-11482174" TargetMode="External" /><Relationship Type="http://schemas.openxmlformats.org/officeDocument/2006/relationships/hyperlink" Id="rId106" Target="https://doi.org/10.1353/dem.2005.0025" TargetMode="External" /><Relationship Type="http://schemas.openxmlformats.org/officeDocument/2006/relationships/hyperlink" Id="rId86" Target="https://doi.org/10.1353/dem.2008.0009" TargetMode="External" /><Relationship Type="http://schemas.openxmlformats.org/officeDocument/2006/relationships/hyperlink" Id="rId88" Target="https://doi.org/10.1371/journal.pone.0198751" TargetMode="External" /><Relationship Type="http://schemas.openxmlformats.org/officeDocument/2006/relationships/hyperlink" Id="rId65" Target="https://doi.org/10.1515/9781400850174" TargetMode="External" /><Relationship Type="http://schemas.openxmlformats.org/officeDocument/2006/relationships/hyperlink" Id="rId121" Target="https://doi.org/10.31235/osf.io/6wx2h" TargetMode="External" /><Relationship Type="http://schemas.openxmlformats.org/officeDocument/2006/relationships/hyperlink" Id="rId84" Target="https://doi.org/10.31235/osf.io/yb6ua" TargetMode="External" /><Relationship Type="http://schemas.openxmlformats.org/officeDocument/2006/relationships/hyperlink" Id="rId123" Target="https://doi.org/10.3386/w19626" TargetMode="External" /><Relationship Type="http://schemas.openxmlformats.org/officeDocument/2006/relationships/hyperlink" Id="rId73" Target="https://doi.org/10.7551/mitpress/3303.001.0001" TargetMode="External" /><Relationship Type="http://schemas.openxmlformats.org/officeDocument/2006/relationships/hyperlink" Id="rId75" Target="https://www.jstor.org/stable/271107" TargetMode="External" /><Relationship Type="http://schemas.openxmlformats.org/officeDocument/2006/relationships/hyperlink" Id="rId56"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92" Target="https://doi.org/10.1007/s00148-021-00842-5" TargetMode="External" /><Relationship Type="http://schemas.openxmlformats.org/officeDocument/2006/relationships/hyperlink" Id="rId108"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96" Target="https://doi.org/10.1007/s12122-020-09305-4" TargetMode="External" /><Relationship Type="http://schemas.openxmlformats.org/officeDocument/2006/relationships/hyperlink" Id="rId71" Target="https://doi.org/10.1007/s13524-012-0177-x" TargetMode="External" /><Relationship Type="http://schemas.openxmlformats.org/officeDocument/2006/relationships/hyperlink" Id="rId50" Target="https://doi.org/10.1016/j.geoforum.2015.11.007" TargetMode="External" /><Relationship Type="http://schemas.openxmlformats.org/officeDocument/2006/relationships/hyperlink" Id="rId44" Target="https://doi.org/10.1080/1387698042000273479" TargetMode="External" /><Relationship Type="http://schemas.openxmlformats.org/officeDocument/2006/relationships/hyperlink" Id="rId69" Target="https://doi.org/10.1080/14649360902853262" TargetMode="External" /><Relationship Type="http://schemas.openxmlformats.org/officeDocument/2006/relationships/hyperlink" Id="rId90" Target="https://doi.org/10.1080/17450100903195318" TargetMode="External" /><Relationship Type="http://schemas.openxmlformats.org/officeDocument/2006/relationships/hyperlink" Id="rId117" Target="https://doi.org/10.1086/718279" TargetMode="External" /><Relationship Type="http://schemas.openxmlformats.org/officeDocument/2006/relationships/hyperlink" Id="rId82" Target="https://doi.org/10.1093/sf/soad108" TargetMode="External" /><Relationship Type="http://schemas.openxmlformats.org/officeDocument/2006/relationships/hyperlink" Id="rId61" Target="https://doi.org/10.1111/1540-6040.00034" TargetMode="External" /><Relationship Type="http://schemas.openxmlformats.org/officeDocument/2006/relationships/hyperlink" Id="rId77" Target="https://doi.org/10.1111/j.1540-6040.2010.01353.x" TargetMode="External" /><Relationship Type="http://schemas.openxmlformats.org/officeDocument/2006/relationships/hyperlink" Id="rId101" Target="https://doi.org/10.1111/j.1944-8287.1999.tb00079.x" TargetMode="External" /><Relationship Type="http://schemas.openxmlformats.org/officeDocument/2006/relationships/hyperlink" Id="rId48" Target="https://doi.org/10.1111/kykl.12206" TargetMode="External" /><Relationship Type="http://schemas.openxmlformats.org/officeDocument/2006/relationships/hyperlink" Id="rId119" Target="https://doi.org/10.1111/lasr.12239" TargetMode="External" /><Relationship Type="http://schemas.openxmlformats.org/officeDocument/2006/relationships/hyperlink" Id="rId112" Target="https://doi.org/10.1111/soc4.12638" TargetMode="External" /><Relationship Type="http://schemas.openxmlformats.org/officeDocument/2006/relationships/hyperlink" Id="rId59" Target="https://doi.org/10.1146/annurev-soc-090320-100926" TargetMode="External" /><Relationship Type="http://schemas.openxmlformats.org/officeDocument/2006/relationships/hyperlink" Id="rId54" Target="https://doi.org/10.1177/0002716219857667" TargetMode="External" /><Relationship Type="http://schemas.openxmlformats.org/officeDocument/2006/relationships/hyperlink" Id="rId52" Target="https://doi.org/10.1177/0011392119850231" TargetMode="External" /><Relationship Type="http://schemas.openxmlformats.org/officeDocument/2006/relationships/hyperlink" Id="rId46" Target="https://doi.org/10.1177/00380385211073237" TargetMode="External" /><Relationship Type="http://schemas.openxmlformats.org/officeDocument/2006/relationships/hyperlink" Id="rId80" Target="https://doi.org/10.1177/01979183231187623" TargetMode="External" /><Relationship Type="http://schemas.openxmlformats.org/officeDocument/2006/relationships/hyperlink" Id="rId94" Target="https://doi.org/10.1177/23780231231222772" TargetMode="External" /><Relationship Type="http://schemas.openxmlformats.org/officeDocument/2006/relationships/hyperlink" Id="rId110" Target="https://doi.org/10.1215/00703370-11482174" TargetMode="External" /><Relationship Type="http://schemas.openxmlformats.org/officeDocument/2006/relationships/hyperlink" Id="rId106" Target="https://doi.org/10.1353/dem.2005.0025" TargetMode="External" /><Relationship Type="http://schemas.openxmlformats.org/officeDocument/2006/relationships/hyperlink" Id="rId86" Target="https://doi.org/10.1353/dem.2008.0009" TargetMode="External" /><Relationship Type="http://schemas.openxmlformats.org/officeDocument/2006/relationships/hyperlink" Id="rId88" Target="https://doi.org/10.1371/journal.pone.0198751" TargetMode="External" /><Relationship Type="http://schemas.openxmlformats.org/officeDocument/2006/relationships/hyperlink" Id="rId65" Target="https://doi.org/10.1515/9781400850174" TargetMode="External" /><Relationship Type="http://schemas.openxmlformats.org/officeDocument/2006/relationships/hyperlink" Id="rId121" Target="https://doi.org/10.31235/osf.io/6wx2h" TargetMode="External" /><Relationship Type="http://schemas.openxmlformats.org/officeDocument/2006/relationships/hyperlink" Id="rId84" Target="https://doi.org/10.31235/osf.io/yb6ua" TargetMode="External" /><Relationship Type="http://schemas.openxmlformats.org/officeDocument/2006/relationships/hyperlink" Id="rId123" Target="https://doi.org/10.3386/w19626" TargetMode="External" /><Relationship Type="http://schemas.openxmlformats.org/officeDocument/2006/relationships/hyperlink" Id="rId73" Target="https://doi.org/10.7551/mitpress/3303.001.0001" TargetMode="External" /><Relationship Type="http://schemas.openxmlformats.org/officeDocument/2006/relationships/hyperlink" Id="rId75" Target="https://www.jstor.org/stable/271107" TargetMode="External" /><Relationship Type="http://schemas.openxmlformats.org/officeDocument/2006/relationships/hyperlink" Id="rId56"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2024-09-02T07:16:03Z</dcterms:created>
  <dcterms:modified xsi:type="dcterms:W3CDTF">2024-09-02T07:16:03Z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queer immigrants settle in the United States? The policy landscape for same-sex couples in the U.S. has changed rapidly in recent years, with immigrants being particularly affected. After the 2013 end of the Defense of Marriage Act, U.S. citizens could finally sponsor the visa of a same-sex partner, and number of immigrants in same-sex couples increased rapidly. But little is known about where these lesbian, gay, and bisexual (LGB) immigrants choose to settle and enjoy their new rights. Do they behave more similarly to their straight immigrant counterparts and locate based on job opportunities and cost of living? Or do they gravitate toward more queer-friendly cities and states, as U.S.-born LGB people do? How have these patterns changed over time, especially in response to local policy changes relevant to queer people and immigrants? Using American Community Survey data from 2008-2022 and original datasets, this paper implements descriptive analyses and quasi-Poisson models to study how settlement patterns of immigrants in same-sex couples in the U.S. respond to local and national policy changes as well as other local sociodemographic and economic factors. We find that the distribution of immigrants in same-sex couples is expanding across the U.S. over time. These settlement patterns generally look more similar to fellow U.S.-born LGB Americans: locations with higher concentrations are more progressive, have more robust LGBTQ+ civic life, and have higher incomes. Yet immigrants in same-sex couples also live in more racially and ethnically diverse areas compared to U.S.-born Americans in same-sex couples. Our findings contribute to a fuller understanding of this rapidly growing population and under which conditions they may behave more similarly to their fellow migrants, their fellow sexual minorities, or as a distinct population all their own.</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September 1,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